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C8A" w:rsidRDefault="006D6C8A" w:rsidP="00614FE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6C8A" w:rsidRPr="006D6C8A" w:rsidRDefault="006D6C8A" w:rsidP="006D6C8A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D6C8A">
        <w:rPr>
          <w:rFonts w:ascii="Times New Roman" w:eastAsia="Calibri" w:hAnsi="Times New Roman" w:cs="Times New Roman"/>
          <w:b/>
          <w:sz w:val="28"/>
          <w:szCs w:val="28"/>
        </w:rPr>
        <w:t>Темы курсовых работ</w:t>
      </w:r>
    </w:p>
    <w:p w:rsidR="006D6C8A" w:rsidRDefault="006D6C8A" w:rsidP="006D6C8A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дисциплине «Микроэкономика» (часть 2)</w:t>
      </w:r>
    </w:p>
    <w:p w:rsidR="000B0952" w:rsidRPr="000B0952" w:rsidRDefault="000B0952" w:rsidP="006D6C8A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B0952" w:rsidRPr="000B0952" w:rsidRDefault="000B0952" w:rsidP="006D6C8A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Выбор номера темы курсовой работы осуществляется по двум последним цифрам пароля студента</w:t>
      </w:r>
    </w:p>
    <w:p w:rsidR="006D6C8A" w:rsidRDefault="006D6C8A" w:rsidP="006D6C8A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Типы экономических систем и основные черты российской модели экономической системы.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Использование ресурсов и эффективность.</w:t>
      </w:r>
    </w:p>
    <w:p w:rsid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Характеристика реформирования собственности в России: прошлое, настоящее и будущее.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Корпоративная форма собственности. Роль корпораций в российской экономике.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Роль государственных корпораций в российской экономике.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Роль предпринимательства в современной экономике.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Рынки конечных товаров и услуг: место и роль в российской экономике.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Применение кривых безразличия для объяснения ценности работы и свободного времени.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Количественные характеристики эластичности спроса и их практическое использование.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Налоги, субсидии и экономическое благосостояние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Эффект масштаба и его проявление на микроуровне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Характеристика действия закона падающей отдачи на микроуровне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Роль концепции альтернативных издержек в экономике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Совершенная конкуренция: экономическая модель и реальность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Влияние монополий на экономику России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Естественные монополии и их влияние на российскую экономику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Ценовые войны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Рынки олигополий в российской экономике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Роль малого бизнеса в экономике России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Поведение монополий в условиях государственного регулирования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Российское антимонопольное законодательство и его влияние на функционирование рынков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Особенности функционирования конкурентных рынков ресурсов (на примере рынков России)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Влияние монополизации на рынки ресурсов (на примере рынков России)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Влияние деятельности российских профсоюзов на рынок труда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Экономическая рента – виды и роль в экономике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Особенности рынка земли в России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Проблемы экономической эффективности и социальной справедливости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Проблемы экологии на современном этапе и их влияние на экономику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Государственное регулирование внешних эффектов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Проблема определения прав собственности на окружающую среду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t>Роль общественных благ в экономике</w:t>
      </w:r>
    </w:p>
    <w:p w:rsidR="00614FEB" w:rsidRPr="00614FEB" w:rsidRDefault="00614FEB" w:rsidP="00614FE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FEB">
        <w:rPr>
          <w:rFonts w:ascii="Times New Roman" w:eastAsia="Calibri" w:hAnsi="Times New Roman" w:cs="Times New Roman"/>
          <w:sz w:val="28"/>
          <w:szCs w:val="28"/>
        </w:rPr>
        <w:lastRenderedPageBreak/>
        <w:t>Теория общественного выбора и ее практическое использование</w:t>
      </w:r>
    </w:p>
    <w:p w:rsidR="00F36E4B" w:rsidRDefault="00F36E4B"/>
    <w:sectPr w:rsidR="00F36E4B" w:rsidSect="00185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F59D6"/>
    <w:multiLevelType w:val="hybridMultilevel"/>
    <w:tmpl w:val="7E40E8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17C"/>
    <w:rsid w:val="000B0952"/>
    <w:rsid w:val="00185D38"/>
    <w:rsid w:val="00614FEB"/>
    <w:rsid w:val="006D6C8A"/>
    <w:rsid w:val="008B217C"/>
    <w:rsid w:val="00F3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Zhuravleva</cp:lastModifiedBy>
  <cp:revision>4</cp:revision>
  <dcterms:created xsi:type="dcterms:W3CDTF">2016-09-30T08:20:00Z</dcterms:created>
  <dcterms:modified xsi:type="dcterms:W3CDTF">2016-12-29T10:04:00Z</dcterms:modified>
</cp:coreProperties>
</file>